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</w:rPr>
              <w:t xml:space="preserve"> июня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99/1083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Первосинюхинского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Первосинюхинского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по Первосинюхинскому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Первосинюхинского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Первосинюхинскому десятимандатному избирательному округу 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Первосинюхинского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Первосинюхинскому десятимандатному избирательному округу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2</Pages>
  <Words>245</Words>
  <Characters>1836</Characters>
  <CharactersWithSpaces>2187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2024-06-17T17:16:05Z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